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399" w:rsidRDefault="00424399" w:rsidP="00424399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99" w:rsidRDefault="00424399" w:rsidP="00424399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82082">
        <w:rPr>
          <w:rFonts w:ascii="Arial Unicode MS" w:hAnsi="Arial Unicode MS"/>
          <w:color w:val="7F7F7F"/>
          <w:sz w:val="18"/>
          <w:szCs w:val="20"/>
        </w:rPr>
        <w:t>2016/5/</w:t>
      </w:r>
      <w:r w:rsidR="00582082">
        <w:rPr>
          <w:rFonts w:ascii="Arial Unicode MS" w:hAnsi="Arial Unicode MS" w:hint="eastAsia"/>
          <w:color w:val="7F7F7F"/>
          <w:sz w:val="18"/>
          <w:szCs w:val="20"/>
        </w:rPr>
        <w:t>1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5221A5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424399" w:rsidRDefault="00424399" w:rsidP="00424399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2466B2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2466B2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2466B2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24399" w:rsidRPr="00A80361" w:rsidRDefault="00424399" w:rsidP="00424399">
      <w:pPr>
        <w:ind w:left="142"/>
        <w:jc w:val="both"/>
        <w:rPr>
          <w:rFonts w:ascii="Arial Unicode MS" w:hAnsi="Arial Unicode MS"/>
        </w:rPr>
      </w:pPr>
    </w:p>
    <w:p w:rsidR="00D117D0" w:rsidRDefault="00424399" w:rsidP="00D117D0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0" w:name="_GoBack"/>
      <w:bookmarkEnd w:id="0"/>
      <w:r w:rsidR="004C2AA5">
        <w:fldChar w:fldCharType="begin"/>
      </w:r>
      <w:r w:rsidR="004C2AA5">
        <w:instrText xml:space="preserve"> HYPERLINK "http://www.6law.idv.tw/" </w:instrText>
      </w:r>
      <w:r w:rsidR="004C2AA5">
        <w:fldChar w:fldCharType="end"/>
      </w:r>
    </w:p>
    <w:p w:rsidR="00DA45B6" w:rsidRDefault="00582082" w:rsidP="00D117D0">
      <w:pPr>
        <w:ind w:leftChars="50" w:left="100" w:rightChars="-16" w:right="-32" w:firstLineChars="13" w:firstLine="26"/>
        <w:jc w:val="center"/>
        <w:rPr>
          <w:rFonts w:hint="eastAsia"/>
          <w:color w:val="FFFFFF"/>
          <w:sz w:val="18"/>
          <w:szCs w:val="28"/>
        </w:rPr>
      </w:pPr>
      <w:r w:rsidRPr="006720FF">
        <w:rPr>
          <w:rFonts w:hint="eastAsia"/>
          <w:color w:val="FFFFFF"/>
        </w:rPr>
        <w:t>《</w:t>
      </w:r>
      <w:r w:rsidRPr="00582082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582082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訴訟法測驗題庫彙編</w:t>
      </w:r>
      <w:r w:rsidRPr="00BA112E">
        <w:rPr>
          <w:rFonts w:ascii="Arial Unicode MS" w:hAnsi="Arial Unicode MS" w:hint="eastAsia"/>
          <w:sz w:val="32"/>
        </w:rPr>
        <w:t>01</w:t>
      </w:r>
      <w:r w:rsidRPr="00582082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582082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104-95</w:t>
      </w:r>
      <w:r w:rsidRPr="00582082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582082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58208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FB5FCB">
        <w:rPr>
          <w:rFonts w:ascii="Arial Unicode MS" w:hAnsi="Arial Unicode MS" w:hint="eastAsia"/>
          <w:color w:val="990000"/>
          <w:sz w:val="28"/>
          <w:szCs w:val="28"/>
        </w:rPr>
        <w:t>2</w:t>
      </w:r>
      <w:r>
        <w:rPr>
          <w:rFonts w:ascii="Arial Unicode MS" w:hAnsi="Arial Unicode MS" w:hint="eastAsia"/>
          <w:color w:val="990000"/>
          <w:sz w:val="28"/>
          <w:szCs w:val="28"/>
        </w:rPr>
        <w:t>8</w:t>
      </w:r>
      <w:r w:rsidRPr="0058208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582082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FB5FCB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>
        <w:rPr>
          <w:rFonts w:ascii="Arial Unicode MS" w:hAnsi="Arial Unicode MS" w:cs="標楷體" w:hint="eastAsia"/>
          <w:color w:val="990000"/>
          <w:sz w:val="28"/>
          <w:szCs w:val="28"/>
        </w:rPr>
        <w:t>400</w:t>
      </w:r>
      <w:r w:rsidRPr="0058208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題)</w:t>
      </w:r>
      <w:r w:rsidRPr="0031244B">
        <w:rPr>
          <w:rFonts w:hint="eastAsia"/>
          <w:color w:val="FFFFFF"/>
          <w:sz w:val="18"/>
          <w:szCs w:val="28"/>
        </w:rPr>
        <w:t>》</w:t>
      </w:r>
    </w:p>
    <w:p w:rsidR="00582082" w:rsidRDefault="00582082" w:rsidP="00582082">
      <w:pPr>
        <w:spacing w:before="100" w:beforeAutospacing="1" w:after="100" w:afterAutospacing="1"/>
        <w:ind w:left="142"/>
        <w:jc w:val="center"/>
      </w:pPr>
      <w:r w:rsidRPr="00BA112E">
        <w:rPr>
          <w:rFonts w:ascii="Arial Unicode MS" w:hAnsi="Arial Unicode MS" w:hint="eastAsia"/>
          <w:sz w:val="18"/>
          <w:szCs w:val="22"/>
        </w:rPr>
        <w:t>。</w:t>
      </w:r>
      <w:hyperlink r:id="rId13" w:history="1">
        <w:r w:rsidRPr="00BA112E">
          <w:rPr>
            <w:rStyle w:val="a4"/>
            <w:rFonts w:ascii="Arial Unicode MS" w:hAnsi="Arial Unicode MS" w:hint="eastAsia"/>
            <w:sz w:val="18"/>
          </w:rPr>
          <w:t>0</w:t>
        </w:r>
        <w:r>
          <w:rPr>
            <w:rStyle w:val="a4"/>
            <w:rFonts w:ascii="Arial Unicode MS" w:hAnsi="Arial Unicode MS" w:hint="eastAsia"/>
            <w:sz w:val="18"/>
          </w:rPr>
          <w:t>2</w:t>
        </w:r>
        <w:r w:rsidRPr="00BA112E">
          <w:rPr>
            <w:rStyle w:val="a4"/>
            <w:rFonts w:ascii="Arial Unicode MS" w:hAnsi="Arial Unicode MS" w:hint="eastAsia"/>
            <w:sz w:val="18"/>
          </w:rPr>
          <w:t>(105~new</w:t>
        </w:r>
        <w:r w:rsidRPr="00BA112E">
          <w:rPr>
            <w:rStyle w:val="a4"/>
            <w:rFonts w:ascii="Arial Unicode MS" w:hAnsi="Arial Unicode MS" w:hint="eastAsia"/>
            <w:sz w:val="18"/>
          </w:rPr>
          <w:t>年</w:t>
        </w:r>
        <w:r w:rsidRPr="00BA112E">
          <w:rPr>
            <w:rStyle w:val="a4"/>
            <w:rFonts w:ascii="Arial Unicode MS" w:hAnsi="Arial Unicode MS" w:hint="eastAsia"/>
            <w:sz w:val="18"/>
          </w:rPr>
          <w:t>)</w:t>
        </w:r>
      </w:hyperlink>
    </w:p>
    <w:p w:rsidR="00DA45B6" w:rsidRDefault="00246C08" w:rsidP="00DA45B6">
      <w:pPr>
        <w:spacing w:before="100" w:beforeAutospacing="1" w:after="100" w:afterAutospacing="1"/>
        <w:ind w:left="142"/>
        <w:jc w:val="center"/>
        <w:rPr>
          <w:rStyle w:val="a4"/>
          <w:color w:val="auto"/>
          <w:szCs w:val="20"/>
          <w:u w:val="none"/>
        </w:rPr>
      </w:pPr>
      <w:r w:rsidRPr="00FB5FCB">
        <w:rPr>
          <w:rFonts w:hint="eastAsia"/>
        </w:rPr>
        <w:t>【其他科目】</w:t>
      </w:r>
      <w:r w:rsidR="00F9313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01訴訟法測驗題庫" w:history="1">
        <w:r w:rsidR="00F93131">
          <w:rPr>
            <w:rStyle w:val="a4"/>
            <w:rFonts w:ascii="Arial Unicode MS" w:hAnsi="Arial Unicode MS" w:hint="eastAsia"/>
            <w:sz w:val="22"/>
          </w:rPr>
          <w:t>S-l</w:t>
        </w:r>
        <w:r w:rsidR="00F93131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F93131" w:rsidRPr="00F93131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F93131" w:rsidRPr="00F93131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93131" w:rsidRPr="00F9313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F93131" w:rsidRPr="00F93131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F93131" w:rsidRPr="00F93131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93131" w:rsidRPr="00F93131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F93131" w:rsidRPr="00F9313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93131" w:rsidRPr="00F9313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F93131" w:rsidRPr="00F93131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F93131" w:rsidRPr="00F93131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93131" w:rsidRPr="00F93131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F93131" w:rsidRPr="00F9313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93131" w:rsidRPr="00F9313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F93131" w:rsidRPr="00F93131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DA45B6" w:rsidRPr="00DA45B6" w:rsidRDefault="003B540F" w:rsidP="00DA45B6">
      <w:pPr>
        <w:ind w:left="142"/>
        <w:jc w:val="center"/>
        <w:rPr>
          <w:rFonts w:ascii="Arial Unicode MS" w:eastAsia="標楷體" w:hAnsi="Arial Unicode MS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8D2">
        <w:rPr>
          <w:rFonts w:ascii="Arial Unicode MS" w:hAnsi="Arial Unicode MS" w:hint="eastAsia"/>
          <w:color w:val="990000"/>
          <w:szCs w:val="20"/>
        </w:rPr>
        <w:t>☆★</w:t>
      </w:r>
      <w:r w:rsidR="00DA45B6" w:rsidRPr="005A4347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DA45B6" w:rsidRPr="005A4347">
        <w:rPr>
          <w:rFonts w:ascii="Arial Unicode MS" w:hAnsi="Arial Unicode MS" w:hint="eastAsia"/>
          <w:color w:val="990000"/>
          <w:szCs w:val="20"/>
        </w:rPr>
        <w:t>,</w:t>
      </w:r>
      <w:r w:rsidR="00DA45B6" w:rsidRPr="005A4347">
        <w:rPr>
          <w:rFonts w:ascii="Arial Unicode MS" w:hAnsi="Arial Unicode MS" w:hint="eastAsia"/>
          <w:color w:val="990000"/>
          <w:szCs w:val="20"/>
        </w:rPr>
        <w:t>即可顯示答案。</w:t>
      </w:r>
      <w:r w:rsidR="00DA45B6">
        <w:rPr>
          <w:rFonts w:ascii="Arial Unicode MS" w:hAnsi="Arial Unicode MS" w:hint="eastAsia"/>
          <w:b/>
          <w:color w:val="808000"/>
          <w:szCs w:val="20"/>
        </w:rPr>
        <w:t>&lt;&lt;</w:t>
      </w:r>
      <w:hyperlink r:id="rId18" w:history="1">
        <w:r w:rsidR="00DA45B6">
          <w:rPr>
            <w:rStyle w:val="a4"/>
            <w:rFonts w:ascii="Arial Unicode MS" w:hAnsi="Arial Unicode MS"/>
            <w:szCs w:val="20"/>
          </w:rPr>
          <w:t>另有解答全</w:t>
        </w:r>
        <w:r w:rsidR="00DA45B6">
          <w:rPr>
            <w:rStyle w:val="a4"/>
            <w:rFonts w:ascii="Arial Unicode MS" w:hAnsi="Arial Unicode MS"/>
            <w:szCs w:val="20"/>
          </w:rPr>
          <w:t>部</w:t>
        </w:r>
        <w:r w:rsidR="00DA45B6">
          <w:rPr>
            <w:rStyle w:val="a4"/>
            <w:rFonts w:ascii="Arial Unicode MS" w:hAnsi="Arial Unicode MS"/>
            <w:szCs w:val="20"/>
          </w:rPr>
          <w:t>顯示檔</w:t>
        </w:r>
      </w:hyperlink>
      <w:r w:rsidR="00DA45B6">
        <w:rPr>
          <w:rFonts w:ascii="Arial Unicode MS" w:hAnsi="Arial Unicode MS" w:hint="eastAsia"/>
          <w:b/>
          <w:color w:val="808000"/>
          <w:szCs w:val="20"/>
        </w:rPr>
        <w:t>&gt;&gt;</w:t>
      </w:r>
    </w:p>
    <w:tbl>
      <w:tblPr>
        <w:tblW w:w="10207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4129"/>
        <w:gridCol w:w="5530"/>
      </w:tblGrid>
      <w:tr w:rsidR="00DA45B6" w:rsidRPr="00DA45B6" w:rsidTr="00246C08">
        <w:trPr>
          <w:cantSplit/>
          <w:trHeight w:val="371"/>
        </w:trPr>
        <w:tc>
          <w:tcPr>
            <w:tcW w:w="10207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3F3F3"/>
          </w:tcPr>
          <w:p w:rsidR="004C2AA5" w:rsidRDefault="004C2AA5" w:rsidP="004C2AA5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(2-100)</w:t>
            </w:r>
            <w:r w:rsidRPr="0031244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 xml:space="preserve"> *</w:t>
            </w:r>
          </w:p>
          <w:p w:rsidR="00DA45B6" w:rsidRPr="00DA45B6" w:rsidRDefault="004C2AA5" w:rsidP="004C2AA5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3-1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3-10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(3-150)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0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8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(3-150)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7年(10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(3-150)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10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96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(2-100)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5年(15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(3-150)</w:t>
            </w:r>
          </w:p>
        </w:tc>
      </w:tr>
      <w:tr w:rsidR="00DA45B6" w:rsidTr="00D117D0">
        <w:trPr>
          <w:cantSplit/>
          <w:trHeight w:val="1030"/>
        </w:trPr>
        <w:tc>
          <w:tcPr>
            <w:tcW w:w="548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vAlign w:val="center"/>
          </w:tcPr>
          <w:p w:rsidR="00DA45B6" w:rsidRDefault="00DA45B6" w:rsidP="00D117D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Cs w:val="2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129" w:type="dxa"/>
            <w:tcBorders>
              <w:top w:val="single" w:sz="8" w:space="0" w:color="C00000"/>
              <w:left w:val="nil"/>
              <w:bottom w:val="nil"/>
              <w:right w:val="nil"/>
            </w:tcBorders>
            <w:vAlign w:val="center"/>
          </w:tcPr>
          <w:p w:rsidR="00DA45B6" w:rsidRDefault="00DA45B6" w:rsidP="00D117D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DA45B6" w:rsidRDefault="00DA45B6" w:rsidP="00D117D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1070E"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2c1錄事5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錄事</w:t>
              </w:r>
            </w:hyperlink>
            <w:r w:rsidRPr="0021070E">
              <w:rPr>
                <w:rFonts w:ascii="新細明體" w:hAnsi="新細明體" w:hint="eastAsia"/>
                <w:szCs w:val="20"/>
              </w:rPr>
              <w:t>、</w:t>
            </w:r>
            <w:hyperlink r:id="rId20" w:anchor="a3b2c1庭務員5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庭務員</w:t>
              </w:r>
            </w:hyperlink>
          </w:p>
        </w:tc>
        <w:tc>
          <w:tcPr>
            <w:tcW w:w="5530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DA45B6" w:rsidRDefault="00246C08" w:rsidP="00D117D0">
            <w:pPr>
              <w:ind w:leftChars="128" w:left="256" w:firstLineChars="50" w:firstLine="100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特種考試身心障礙人員五等考試。錄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特種考試身心障礙人員五等考試。錄事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特種考試身心障礙人員五等考試‧錄事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特種考試身心障礙人員五等考試‧錄事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特種考試身心障礙人員五等考試‧錄事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DA45B6" w:rsidRDefault="00DA45B6" w:rsidP="00D117D0">
            <w:pPr>
              <w:ind w:leftChars="128" w:left="256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特種考試身心障礙人員五等考試‧錄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年公務人員特種考試身心障礙人員五等考試‧錄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年公務人員特種考試身心障礙人員考試‧錄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身心障礙人員五等考試‧錄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身心障礙人員五等考試‧錄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A45B6" w:rsidTr="00D117D0">
        <w:trPr>
          <w:cantSplit/>
          <w:trHeight w:val="529"/>
        </w:trPr>
        <w:tc>
          <w:tcPr>
            <w:tcW w:w="548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DA45B6" w:rsidRDefault="00DA45B6" w:rsidP="00D117D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Cs w:val="2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A45B6" w:rsidRDefault="00DA45B6" w:rsidP="00D117D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DA45B6" w:rsidRDefault="00DA45B6" w:rsidP="00D117D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1070E"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3b2c2錄事5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錄事</w:t>
              </w:r>
            </w:hyperlink>
            <w:r w:rsidRPr="0021070E">
              <w:rPr>
                <w:rFonts w:ascii="新細明體" w:hAnsi="新細明體" w:hint="eastAsia"/>
                <w:szCs w:val="20"/>
              </w:rPr>
              <w:t>、</w:t>
            </w:r>
            <w:hyperlink r:id="rId22" w:anchor="a3b2c2庭務員5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庭務員</w:t>
              </w:r>
            </w:hyperlink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4C2AA5" w:rsidRDefault="004C2AA5" w:rsidP="00D117D0">
            <w:pPr>
              <w:ind w:leftChars="128" w:left="256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特種考試身心障礙人員五等考試。錄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公務人員特種考試原住民族五等考試。庭務員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3。（2）102年公務人員特種考試原住民族五等考試。庭務員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%（2）100年公務人員特種考試原住民族五等考試‧庭務員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DA45B6" w:rsidRDefault="00DA45B6" w:rsidP="00D117D0">
            <w:pPr>
              <w:ind w:leftChars="128" w:left="256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9年公務人員特種考試原住民族五等考試‧庭務員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8年公務人員特種考試原住民族五等考試‧錄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@97年公務人員特種考試原住民族五等考試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特種考試原住民族五等考試‧錄事、庭務員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A45B6" w:rsidTr="00D117D0">
        <w:trPr>
          <w:cantSplit/>
          <w:trHeight w:val="834"/>
        </w:trPr>
        <w:tc>
          <w:tcPr>
            <w:tcW w:w="548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vAlign w:val="center"/>
          </w:tcPr>
          <w:p w:rsidR="00DA45B6" w:rsidRDefault="00DA45B6" w:rsidP="00D117D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Cs w:val="20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C00000"/>
              <w:right w:val="nil"/>
            </w:tcBorders>
            <w:vAlign w:val="center"/>
          </w:tcPr>
          <w:p w:rsidR="00DA45B6" w:rsidRDefault="00DA45B6" w:rsidP="00D117D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司法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DA45B6" w:rsidRDefault="00DA45B6" w:rsidP="00D117D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1070E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2b2錄事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vAlign w:val="center"/>
          </w:tcPr>
          <w:p w:rsidR="00DA45B6" w:rsidRDefault="00D02976" w:rsidP="00D117D0">
            <w:pPr>
              <w:ind w:leftChars="128" w:left="256" w:firstLineChars="50" w:firstLine="100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3）104年公務人員特種考試司法人員五等考試。各類科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3）103年公務人員特種考試司法人員五等考試。各類科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3）102年公務人員特種考試司法人員五等考試。各類科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2‧（3）101年公務人員特種考試司法人員五等考試‧各類科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0年公務人員特種考試司法人員五等考試‧各類科" w:history="1"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="00DA45B6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DA45B6"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DA45B6" w:rsidRDefault="00DA45B6" w:rsidP="00D117D0">
            <w:pPr>
              <w:ind w:leftChars="128" w:left="256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特種考試司法人員五等考試‧各類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（3）98年公務人員特種考試司法人員五等考試‧各類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年公務人員特種考試第二次司法人員五等考試‧各類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公務人員特種考試司法人員五等考試‧各類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司法人員五等考試‧各類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424399" w:rsidRDefault="00DA45B6" w:rsidP="00424399">
      <w:pPr>
        <w:ind w:left="142"/>
        <w:jc w:val="both"/>
        <w:rPr>
          <w:rFonts w:ascii="新細明體" w:hAnsi="新細明體"/>
        </w:rPr>
      </w:pPr>
      <w:bookmarkStart w:id="5" w:name="_100年(1-50)"/>
      <w:bookmarkEnd w:id="5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1" w:history="1">
        <w:r w:rsidR="00F93131">
          <w:rPr>
            <w:rStyle w:val="a4"/>
            <w:rFonts w:ascii="Arial Unicode MS" w:hAnsi="Arial Unicode MS"/>
            <w:sz w:val="18"/>
            <w:szCs w:val="20"/>
          </w:rPr>
          <w:t>回目錄</w:t>
        </w:r>
        <w:r w:rsidR="00F93131">
          <w:rPr>
            <w:rStyle w:val="a4"/>
            <w:rFonts w:ascii="Arial Unicode MS" w:hAnsi="Arial Unicode MS"/>
            <w:sz w:val="18"/>
            <w:szCs w:val="20"/>
          </w:rPr>
          <w:t>(1)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  <w:szCs w:val="20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424399" w:rsidRDefault="00424399" w:rsidP="00246C08">
      <w:pPr>
        <w:pStyle w:val="1"/>
        <w:spacing w:beforeLines="30" w:before="108" w:beforeAutospacing="0" w:afterLines="30" w:after="108" w:afterAutospacing="0"/>
      </w:pPr>
      <w:bookmarkStart w:id="6" w:name="_103年(1-50)"/>
      <w:bookmarkEnd w:id="6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(2-100)</w:t>
      </w:r>
    </w:p>
    <w:p w:rsidR="00424399" w:rsidRDefault="00424399" w:rsidP="00246C08">
      <w:pPr>
        <w:pStyle w:val="2"/>
        <w:spacing w:beforeLines="30" w:before="108" w:beforeAutospacing="0" w:afterLines="30" w:after="108" w:afterAutospacing="0"/>
      </w:pPr>
      <w:bookmarkStart w:id="7" w:name="_10301。（1）103年公務人員特種考試身心障礙人員五等考試。錄事"/>
      <w:bookmarkEnd w:id="7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年公務人員特種考試身心障礙人員五等考試。錄事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/>
        </w:rPr>
        <w:t>3509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C54B4E">
        <w:rPr>
          <w:rFonts w:ascii="Arial Unicode MS" w:hAnsi="Arial Unicode MS" w:hint="eastAsia"/>
        </w:rPr>
        <w:t>五等</w:t>
      </w:r>
      <w:r>
        <w:rPr>
          <w:rFonts w:ascii="Arial Unicode MS" w:hAnsi="Arial Unicode MS" w:hint="eastAsia"/>
        </w:rPr>
        <w:t>考試【類科】</w:t>
      </w:r>
      <w:r w:rsidRPr="00C54B4E">
        <w:rPr>
          <w:rFonts w:ascii="Arial Unicode MS" w:hAnsi="Arial Unicode MS" w:hint="eastAsia"/>
        </w:rPr>
        <w:t>錄事、庭務員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  <w:szCs w:val="20"/>
        </w:rPr>
        <w:t>】</w:t>
      </w:r>
      <w:hyperlink r:id="rId24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>
        <w:rPr>
          <w:rFonts w:ascii="Arial Unicode MS" w:hAnsi="Arial Unicode MS" w:hint="eastAsia"/>
        </w:rPr>
        <w:t>大意與</w:t>
      </w:r>
      <w:hyperlink r:id="rId25" w:history="1">
        <w:r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C54B4E">
        <w:rPr>
          <w:rFonts w:ascii="Arial Unicode MS" w:hAnsi="Arial Unicode MS" w:hint="eastAsia"/>
        </w:rPr>
        <w:t>大意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FB5FCB">
        <w:rPr>
          <w:rFonts w:ascii="Arial Unicode MS" w:hAnsi="Arial Unicode MS" w:hint="eastAsia"/>
          <w:color w:val="FFFFFF"/>
        </w:rPr>
        <w:t>++</w:t>
      </w:r>
    </w:p>
    <w:p w:rsidR="00424399" w:rsidRPr="00C54B4E" w:rsidRDefault="00424399" w:rsidP="00424399">
      <w:pPr>
        <w:jc w:val="both"/>
        <w:rPr>
          <w:rFonts w:ascii="Arial Unicode MS" w:hAnsi="Arial Unicode MS"/>
        </w:rPr>
      </w:pPr>
    </w:p>
    <w:p w:rsidR="00424399" w:rsidRPr="00C54B4E" w:rsidRDefault="00424399" w:rsidP="00246C08">
      <w:pPr>
        <w:pStyle w:val="2"/>
        <w:spacing w:beforeLines="30" w:before="108" w:beforeAutospacing="0" w:afterLines="30" w:after="108" w:afterAutospacing="0"/>
      </w:pPr>
      <w:r w:rsidRPr="00C54B4E">
        <w:rPr>
          <w:rFonts w:hint="eastAsia"/>
        </w:rPr>
        <w:t>甲、</w:t>
      </w:r>
      <w:hyperlink r:id="rId26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 w:rsidRPr="00C54B4E">
        <w:rPr>
          <w:rFonts w:hint="eastAsia"/>
        </w:rPr>
        <w:t>部分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下列何者非民事財產訴訟事件中法院應盡之義務？答案顯示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）闡明義務（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）訴訟促進義務（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）中立性義務（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）依職權提出證據之義務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下列何者非民事財產訴訟事件之程序基本原則？答案顯示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）處分權主義（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）職權探知原則（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）集中審理原則（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）言詞審理原則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3.</w:t>
      </w:r>
      <w:r w:rsidRPr="00C54B4E">
        <w:rPr>
          <w:rFonts w:hint="eastAsia"/>
        </w:rPr>
        <w:t>下列何種情況屬於專屬管轄？答案顯示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）因確認質權存在而涉訟（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）因確認不動產抵押權存在而涉訟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）因動產共有物之分割而涉訟（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）因請求返還借款而涉訟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出賣人甲與買受人乙訂立位於桃園市之不動產買賣契約，約定由臺灣臺北地方法院管轄，出賣人居住於基隆市，買受人乙住居於臺中市，因買受人乙積欠買賣價金尾款未付，甲擬對乙向法院聲請發支付命令，應向何法院聲請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A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）臺灣臺中地方法院（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）臺灣桃園地方法院（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）臺灣臺北地方法院（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）臺灣基隆地方法院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下列何者無當事人能力？答案顯示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C54B4E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）巴黎華廈大樓管理委員會（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）祭祀公業法人桃園縣李長榮公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）新光商業銀行股份有限公司（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）經濟部商業司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在多數有共同利益之人，依</w:t>
      </w:r>
      <w:hyperlink r:id="rId27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 w:rsidRPr="00C54B4E">
        <w:rPr>
          <w:rFonts w:hint="eastAsia"/>
        </w:rPr>
        <w:t>之規定選定公益社團法人代為進行訴訟之情形，下列敘述何者正確？答案顯示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）如為金錢損害賠償之訴，而選定人全體以書狀表明願由法院為給付總額之裁判，無須就分配方法達成協議，法院即可為總額性裁判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）如為非金錢損害賠償之訴，而選定人全體以書狀表明願由法院為給付總額之裁判，法院即可為總額性裁判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）如為金錢損害賠償之訴，而選定人全體以書狀表明願由法院為給付總額之裁判，須就分配方法達成協議，法院始可為總額性裁判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）如選定人限制被選定人為訴訟標的捨棄之行為，其效力及於其他選定人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關於</w:t>
      </w:r>
      <w:hyperlink r:id="rId28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 w:rsidRPr="00C54B4E">
        <w:rPr>
          <w:rFonts w:hint="eastAsia"/>
        </w:rPr>
        <w:t>所規定之選定當事人程序，下列敘述何者正確？答案顯示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）可選定多數有共同利益之人以外之自然人為被選定人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）選定人讓與其損害賠償請求權給被選定人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）選定人授與訴訟實施權於被選定人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）選定人限制被選定人為訴訟標的捨棄、訴之撤回與訴訟和解之行為，其效力及於其他選定人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下列何種行為，訴訟代理人可不經特別委任為之？答案顯示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）訴訟標的之捨棄（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）證據之聲請（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）訴之撤回（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）訴訟上和解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訴訟標的對於各人須合一確定之情形，下列敘述何者正確？答案顯示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）共同訴訟人中一人之行為有利益於共同訴訟人者，效力不及於全體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）共同訴訟人中一人之行為不利益於共同訴訟人者，效力及於全體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）共同訴訟人中一人生訴訟裁定停止之原因，其裁定停止之效力不及於全體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）共同訴訟人一人生訴訟當然停止之原因，其當然停止之效力及於全體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關於送達，下列敘述何者正確？答案顯示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）當事人為在監所人，法院向其住居所送達，經其同居人或受僱人受領送達者，仍生送達效力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）因大廈管理員為當事人之受僱人，其收受訴訟文書之效力，與當事人本人收受相同，自不因該管理員嗣後是否轉交該當事人而有差異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）當事人應受送達處所不明，不得對之為公示送達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）當事人居住於外國者，得以郵務直接郵寄送達文件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11.</w:t>
      </w:r>
      <w:r w:rsidRPr="00C54B4E">
        <w:rPr>
          <w:rFonts w:hint="eastAsia"/>
        </w:rPr>
        <w:t>下列何者為訴狀宜記載之事實？答案顯示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）訴訟標的及其原因事實（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）當事人（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）應受判決事項之聲明（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）準備言詞辯論之事項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關於處分權主義之敘述，下列何者錯誤？答案顯示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）就原告未表明之訴訟標的，法院不得判決（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）法院不得超出原告表明應受判決事項之聲明範圍判決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）當事人訂立訴訟上和解時，法院應作成本案判決（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）被告為訴訟標的認諾時，法院應為其本案敗訴之判決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關於民事訴訟類型，下列敘述何者錯誤？答案顯示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）分割共有物之訴為形成之訴（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）確認袋地通行權不存在之訴為確認之訴</w:t>
      </w:r>
    </w:p>
    <w:p w:rsidR="00424399" w:rsidRPr="00C54B4E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）依民</w:t>
      </w:r>
      <w:r>
        <w:rPr>
          <w:rFonts w:ascii="Arial Unicode MS" w:hAnsi="Arial Unicode MS" w:cs="新細明體" w:hint="eastAsia"/>
          <w:szCs w:val="20"/>
        </w:rPr>
        <w:t>法</w:t>
      </w:r>
      <w:hyperlink r:id="rId29" w:anchor="a74" w:history="1">
        <w:r>
          <w:rPr>
            <w:rStyle w:val="a4"/>
            <w:rFonts w:ascii="Arial Unicode MS" w:hAnsi="Arial Unicode MS" w:cs="新細明體" w:hint="eastAsia"/>
            <w:szCs w:val="20"/>
          </w:rPr>
          <w:t>第</w:t>
        </w:r>
        <w:r>
          <w:rPr>
            <w:rStyle w:val="a4"/>
            <w:rFonts w:ascii="Arial Unicode MS" w:hAnsi="Arial Unicode MS" w:hint="eastAsia"/>
            <w:szCs w:val="20"/>
          </w:rPr>
          <w:t>74</w:t>
        </w:r>
        <w:r>
          <w:rPr>
            <w:rStyle w:val="a4"/>
            <w:rFonts w:ascii="Arial Unicode MS" w:hAnsi="Arial Unicode MS" w:hint="eastAsia"/>
            <w:szCs w:val="20"/>
          </w:rPr>
          <w:t>條</w:t>
        </w:r>
      </w:hyperlink>
      <w:r w:rsidRPr="00C54B4E">
        <w:rPr>
          <w:rFonts w:ascii="Arial Unicode MS" w:hAnsi="Arial Unicode MS" w:hint="eastAsia"/>
        </w:rPr>
        <w:t>聲請法院撤銷法律行為之訴為形成之訴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）依民法</w:t>
      </w:r>
      <w:hyperlink r:id="rId30" w:anchor="a244" w:history="1">
        <w:r w:rsidRPr="00CF2F59">
          <w:rPr>
            <w:rStyle w:val="a4"/>
            <w:rFonts w:ascii="Arial Unicode MS" w:hAnsi="Arial Unicode MS" w:hint="eastAsia"/>
          </w:rPr>
          <w:t>第</w:t>
        </w:r>
        <w:r w:rsidRPr="00CF2F59">
          <w:rPr>
            <w:rStyle w:val="a4"/>
            <w:rFonts w:ascii="Arial Unicode MS" w:hAnsi="Arial Unicode MS" w:hint="eastAsia"/>
          </w:rPr>
          <w:t>244</w:t>
        </w:r>
        <w:r w:rsidRPr="00CF2F59">
          <w:rPr>
            <w:rStyle w:val="a4"/>
            <w:rFonts w:ascii="Arial Unicode MS" w:hAnsi="Arial Unicode MS" w:hint="eastAsia"/>
          </w:rPr>
          <w:t>條</w:t>
        </w:r>
      </w:hyperlink>
      <w:r w:rsidRPr="00C54B4E">
        <w:rPr>
          <w:rFonts w:ascii="Arial Unicode MS" w:hAnsi="Arial Unicode MS" w:hint="eastAsia"/>
        </w:rPr>
        <w:t>聲請法院撤銷債務人之行為，為給付之訴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關於訴之撤回之敘述，下列何者正確？答案顯示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）原告於第一審法院為終局判決前撤回起訴後，不得就同一事件再起訴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）原告於第二審撤回起訴後，不得就同一事件再起訴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）為充分保障原告之處分權，被告已為本案言詞辯論後，原告無須得被告之同意即可撤回訴訟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）本訴撤回後，反訴之撤回須經原告之同意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關於訴之提起，下列敘述何者錯誤？答案顯示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Pr="00C54B4E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）訴之三要素為訴之聲明（應受判決事項之聲明）、當事人及訴訟標的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）訴不合法，法院應裁定駁回原告之訴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）是否同一訴訟，以當事人是否相同為準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）同一訴訟既經法院判決以原告未繳納裁判費駁回原告之訴確定，原告得再行起訴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訴狀送達後，下列何種情形原告不可為客觀訴之變更或追加？答案顯示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）於第二審未經他造同意，但請求基礎事實同一（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）於第一審不具請求基礎事實同一，但經他造同意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）於第三審因情事變更而以他項聲明代最初之聲明（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）於第二審擴張應受判決事項之聲明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下列何者，非訴之客觀合併？答案顯示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）被告持支票向原告借款，原告以一訴提起給付票款之訴與清償借款之訴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）原告起訴請求離婚，同時請求因離婚原因事實所生損害之賠償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）原告請求被告返還土地，同時請求賠償相當於租金之損害賠償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）原告請求被告及其僱用人賠償因受僱人之侵權行為所生之損害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關於訴訟之舉證責任，下列敘述何者錯誤？答案顯示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）請求清償借貸債務之訴，原告應就借款交付之事實負舉證責任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）請求返還非債清償之不當得利之訴，債務之不存在之事實，由原告舉證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）請求給付票款之訴，對於票據之真正，由原告負舉證責任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）請求履行同居義務之訴，關於得不同居之正當事由，由原告舉證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關於被告於言詞辯論時為認諾，下列敘述何者正確？答案顯示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）原告對於支持其請求之事實，免舉證責任（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）法院應本於其認諾為被告敗訴之判決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）認諾係指被告承認原告主張之事實為真實（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）被告得撤回其認諾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關於既判力，下列敘述何者錯誤？答案顯示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）既判力僅及於為訴訟標的之法律關係，判決理由則無既判力可言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）有既判力之法律關係，當事人不得為相反主張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）有既判力之法律關係，法院亦不得為反於確定判決意旨之裁判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）任何確定判決均有既判力</w:t>
      </w:r>
    </w:p>
    <w:p w:rsidR="00424399" w:rsidRPr="00C54B4E" w:rsidRDefault="00424399" w:rsidP="00424399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關於民事訴訟法</w:t>
      </w:r>
      <w:hyperlink r:id="rId31" w:anchor="a401" w:history="1">
        <w:r w:rsidRPr="00CF2F59">
          <w:rPr>
            <w:rStyle w:val="a4"/>
            <w:rFonts w:ascii="Arial Unicode MS" w:hAnsi="Arial Unicode MS" w:hint="eastAsia"/>
          </w:rPr>
          <w:t>第</w:t>
        </w:r>
        <w:r w:rsidRPr="00CF2F59">
          <w:rPr>
            <w:rStyle w:val="a4"/>
            <w:rFonts w:ascii="Arial Unicode MS" w:hAnsi="Arial Unicode MS" w:hint="eastAsia"/>
          </w:rPr>
          <w:t>401</w:t>
        </w:r>
        <w:r w:rsidRPr="00CF2F59">
          <w:rPr>
            <w:rStyle w:val="a4"/>
            <w:rFonts w:ascii="Arial Unicode MS" w:hAnsi="Arial Unicode MS" w:hint="eastAsia"/>
          </w:rPr>
          <w:t>條</w:t>
        </w:r>
      </w:hyperlink>
      <w:r w:rsidRPr="00C54B4E">
        <w:rPr>
          <w:rFonts w:hint="eastAsia"/>
        </w:rPr>
        <w:t>之規定，下列敘述何者錯誤？答案顯示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）同條第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項所謂繼受人，包括因法律行為而受讓訴訟標的之特定繼受人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）訴訟標的法律關係為債之關係，債權讓與之受讓人為繼受人，為既判力所及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）訴訟標的為物權之法律關係時，受讓標的物之人亦為繼受人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）既判力又稱為形式上之確定力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22.</w:t>
      </w:r>
      <w:r w:rsidRPr="00311C3C">
        <w:rPr>
          <w:rFonts w:hint="eastAsia"/>
        </w:rPr>
        <w:t>關於支付命令（督促程序），下列敘述何者錯誤？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A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）債務人異議應於支付命令送達後，</w:t>
      </w:r>
      <w:r w:rsidRPr="00311C3C">
        <w:rPr>
          <w:rFonts w:ascii="Arial Unicode MS" w:hAnsi="Arial Unicode MS" w:hint="eastAsia"/>
        </w:rPr>
        <w:t>20</w:t>
      </w:r>
      <w:r w:rsidRPr="00311C3C">
        <w:rPr>
          <w:rFonts w:ascii="Arial Unicode MS" w:hAnsi="Arial Unicode MS" w:hint="eastAsia"/>
        </w:rPr>
        <w:t>日之不變期間內，附理由並檢具事證向法院為之，否則異議不生效力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）債務人逾期始提出異議者，法院應以裁定駁回之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）支付命令之聲請，由債務人住所地法院管轄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）債務人異議，支付命令失效，支付命令之聲請視為起訴或調解之聲請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23.</w:t>
      </w:r>
      <w:r w:rsidRPr="00311C3C">
        <w:rPr>
          <w:rFonts w:hint="eastAsia"/>
        </w:rPr>
        <w:t>依</w:t>
      </w:r>
      <w:hyperlink r:id="rId32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 w:rsidRPr="00311C3C">
        <w:rPr>
          <w:rFonts w:hint="eastAsia"/>
        </w:rPr>
        <w:t>之規定，下列何種情形不得為附帶上訴？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）撤回上訴後（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）捨棄上訴權後（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）上訴期間屆滿後（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）訴訟事件經第三審法院發回或發交後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24.</w:t>
      </w:r>
      <w:r w:rsidRPr="00311C3C">
        <w:rPr>
          <w:rFonts w:hint="eastAsia"/>
        </w:rPr>
        <w:t>民事訴訟之訴訟上和解有無效或得撤銷之原因，當事人救濟之方式為何？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）上訴（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）抗告（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）再審（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）請求繼續審判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25.</w:t>
      </w:r>
      <w:r w:rsidRPr="00311C3C">
        <w:rPr>
          <w:rFonts w:hint="eastAsia"/>
        </w:rPr>
        <w:t>關於第二審提出新攻擊或防禦方法之敘述，下列何者正確？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）當事人於第二審原則上可提出新攻擊或防禦方法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lastRenderedPageBreak/>
        <w:t>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）第一審法院違反闡明義務致當事人未能提出新攻擊或防禦方法，得於第二審提出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）事實發生於第一審言詞辯論終結後，不得於第二審提出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）法院職務上已知之事實，不得於第二審提出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FB5FCB">
        <w:rPr>
          <w:rFonts w:ascii="Arial Unicode MS" w:hAnsi="Arial Unicode MS" w:hint="eastAsia"/>
          <w:color w:val="FFFFFF"/>
        </w:rPr>
        <w:t>++</w:t>
      </w:r>
    </w:p>
    <w:p w:rsidR="00424399" w:rsidRPr="00311C3C" w:rsidRDefault="00424399" w:rsidP="00424399">
      <w:pPr>
        <w:pStyle w:val="2"/>
      </w:pPr>
      <w:r w:rsidRPr="00311C3C">
        <w:rPr>
          <w:rFonts w:hint="eastAsia"/>
        </w:rPr>
        <w:t>乙、</w:t>
      </w:r>
      <w:hyperlink r:id="rId33" w:history="1">
        <w:r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311C3C">
        <w:rPr>
          <w:rFonts w:hint="eastAsia"/>
        </w:rPr>
        <w:t>部分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26.</w:t>
      </w:r>
      <w:r w:rsidRPr="00311C3C">
        <w:rPr>
          <w:rFonts w:hint="eastAsia"/>
        </w:rPr>
        <w:t>下列何項原則與刑事訴訟程序之公平審判無關？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）公開審理原則（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）偵查不公開原則（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）罪疑唯輕原則（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）證據裁判原則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27.</w:t>
      </w:r>
      <w:r w:rsidRPr="00311C3C">
        <w:rPr>
          <w:rFonts w:hint="eastAsia"/>
        </w:rPr>
        <w:t>刑事訴訟關於當事人聲請法官迴避之相關事項，下列敘述，何者正確？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）法官現為被告之同事，構成應自行迴避之事由（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）聲請法官迴避，應以書狀舉其原因向直接上級法院為之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）法官迴避之聲請，由該法官所屬法院之院長裁定之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）被聲請迴避之法官，以該聲請為有理由者，無庸裁定，即應迴避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28.</w:t>
      </w:r>
      <w:r w:rsidRPr="00311C3C">
        <w:rPr>
          <w:rFonts w:hint="eastAsia"/>
        </w:rPr>
        <w:t>刑事訴訟關於被告之選任辯護人，下列敘述何者正確？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）每一被告選任辯護人，不得逾</w:t>
      </w:r>
      <w:r w:rsidRPr="00311C3C">
        <w:rPr>
          <w:rFonts w:ascii="Arial Unicode MS" w:hAnsi="Arial Unicode MS" w:hint="eastAsia"/>
        </w:rPr>
        <w:t xml:space="preserve"> 2</w:t>
      </w:r>
      <w:r w:rsidRPr="00311C3C">
        <w:rPr>
          <w:rFonts w:ascii="Arial Unicode MS" w:hAnsi="Arial Unicode MS" w:hint="eastAsia"/>
        </w:rPr>
        <w:t>人（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）辯護人僅得由律師擔任之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）選任辯護人，應提出委任書狀，不得以口頭委任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）前項委任書狀，於起訴前，僅得提出於檢察官，不得提出於司法警察官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29.</w:t>
      </w:r>
      <w:r w:rsidRPr="00311C3C">
        <w:rPr>
          <w:rFonts w:hint="eastAsia"/>
        </w:rPr>
        <w:t>刑事訴訟，下列何種情形得為公示送達？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）證人所在不明（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）被告在監獄服刑（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）自訴人中風住院（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）告訴人住居於國外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30.</w:t>
      </w:r>
      <w:r w:rsidRPr="00311C3C">
        <w:rPr>
          <w:rFonts w:hint="eastAsia"/>
        </w:rPr>
        <w:t>關於拘提，下列敘述，何者正確？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A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）一般拘提須先經傳喚程序，逕行拘提則無須經傳喚程序（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）逕行拘提，均無須使用拘票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）拘提之對象，僅限於被告（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）被告犯罪嫌疑重大，所犯為最輕本刑</w:t>
      </w:r>
      <w:r w:rsidRPr="00311C3C">
        <w:rPr>
          <w:rFonts w:ascii="Arial Unicode MS" w:hAnsi="Arial Unicode MS" w:hint="eastAsia"/>
        </w:rPr>
        <w:t xml:space="preserve"> 5.</w:t>
      </w:r>
      <w:r w:rsidRPr="00311C3C">
        <w:rPr>
          <w:rFonts w:ascii="Arial Unicode MS" w:hAnsi="Arial Unicode MS" w:hint="eastAsia"/>
        </w:rPr>
        <w:t>年以下有期徒刑者，亦得逕行拘提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31.</w:t>
      </w:r>
      <w:r w:rsidRPr="00311C3C">
        <w:rPr>
          <w:rFonts w:hint="eastAsia"/>
        </w:rPr>
        <w:t>下列何種權利，被告（犯罪嫌疑人）在偵查程序中無法享有？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Pr="00E456B9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）對質權（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）緘默權（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）詰問權（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）證據調查請求權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32.</w:t>
      </w:r>
      <w:r w:rsidRPr="00311C3C">
        <w:rPr>
          <w:rFonts w:hint="eastAsia"/>
        </w:rPr>
        <w:t>司法警察官或司法警察詢問犯罪嫌疑人，下列何種情形，不得於夜間行之？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A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）經犯罪嫌疑人之辯護律師表示同意（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）於夜間經拘提或逮捕到場而查驗其人有無錯誤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）經檢察官許可（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）犯罪嫌疑人請求立即詢問</w:t>
      </w:r>
    </w:p>
    <w:p w:rsidR="00424399" w:rsidRPr="00311C3C" w:rsidRDefault="00424399" w:rsidP="00424399">
      <w:pPr>
        <w:pStyle w:val="3"/>
      </w:pPr>
      <w:r w:rsidRPr="00CF2F59">
        <w:rPr>
          <w:rFonts w:hint="eastAsia"/>
        </w:rPr>
        <w:t>33.</w:t>
      </w:r>
      <w:r w:rsidRPr="00CF2F59">
        <w:rPr>
          <w:rFonts w:hint="eastAsia"/>
        </w:rPr>
        <w:t>在偵查程序中，搜索票由下列何者簽發？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）司法警察官（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）檢察官（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）檢察事務官（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）法官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34.</w:t>
      </w:r>
      <w:r w:rsidRPr="00311C3C">
        <w:rPr>
          <w:rFonts w:hint="eastAsia"/>
        </w:rPr>
        <w:t>證人於審判中有下列何種情形，其於司法警察官或司法警察調查中所為之陳述，縱使經證明具有可信之特別情況，且為證明犯罪事實之存否所必要者，仍不得作為證據？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）證人到庭後無正當理由而拒絕陳述（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）證人死亡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）證人赴國外旅遊一個月而傳喚不到（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）證人身心障礙致記憶喪失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35.</w:t>
      </w:r>
      <w:r w:rsidRPr="00311C3C">
        <w:rPr>
          <w:rFonts w:hint="eastAsia"/>
        </w:rPr>
        <w:t>下列何種情況，證人不得拒絕證言？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）證人現為被告之弟弟（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）證人恐因陳述致其男友受刑事追訴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）證人為醫師，就其業務所知悉有關他人祕密之事項受訊問而未經本人允許時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）證人曾由被告為其法定代理人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36.</w:t>
      </w:r>
      <w:r w:rsidRPr="00311C3C">
        <w:rPr>
          <w:rFonts w:hint="eastAsia"/>
        </w:rPr>
        <w:t>關於告訴乃論之罪，下列敘述，何者正確？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）只有被害人得提出告訴（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）告訴期間，自得為告訴之人知悉犯人之時起算，為</w:t>
      </w:r>
      <w:r w:rsidRPr="00311C3C">
        <w:rPr>
          <w:rFonts w:ascii="Arial Unicode MS" w:hAnsi="Arial Unicode MS" w:hint="eastAsia"/>
        </w:rPr>
        <w:t xml:space="preserve"> 8</w:t>
      </w:r>
      <w:r w:rsidRPr="00311C3C">
        <w:rPr>
          <w:rFonts w:ascii="Arial Unicode MS" w:hAnsi="Arial Unicode MS" w:hint="eastAsia"/>
        </w:rPr>
        <w:t>個月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）告訴人於第一審判決前，得撤回告訴（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）對於共犯之一人撤回告訴，其效力原則上及於其他共犯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lastRenderedPageBreak/>
        <w:t>37.</w:t>
      </w:r>
      <w:r w:rsidRPr="00311C3C">
        <w:rPr>
          <w:rFonts w:hint="eastAsia"/>
        </w:rPr>
        <w:t>刑事訴訟</w:t>
      </w:r>
      <w:r>
        <w:rPr>
          <w:rFonts w:hint="eastAsia"/>
        </w:rPr>
        <w:t>法</w:t>
      </w:r>
      <w:hyperlink r:id="rId34" w:anchor="a251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251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311C3C">
        <w:rPr>
          <w:rFonts w:hint="eastAsia"/>
        </w:rPr>
        <w:t>第</w:t>
      </w:r>
      <w:r w:rsidRPr="00311C3C">
        <w:rPr>
          <w:rFonts w:hint="eastAsia"/>
        </w:rPr>
        <w:t>1</w:t>
      </w:r>
      <w:r w:rsidRPr="00311C3C">
        <w:rPr>
          <w:rFonts w:hint="eastAsia"/>
        </w:rPr>
        <w:t>項：「檢察官依偵查所得之證據，足認被告有犯罪嫌疑者，應提起公訴」，此為下列何種原則（主義）？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）糾問主義（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）改良式當事人主義（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）起訴法定原則（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）起訴裁量原則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38.</w:t>
      </w:r>
      <w:r w:rsidRPr="00311C3C">
        <w:rPr>
          <w:rFonts w:hint="eastAsia"/>
        </w:rPr>
        <w:t>下列何種情形，不屬於絕對不起訴處分之事由？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）時效已完成者（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）曾經大赦者（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）告訴乃論之罪，未經告訴者（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）法律應免除其刑者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39.</w:t>
      </w:r>
      <w:r w:rsidRPr="00311C3C">
        <w:rPr>
          <w:rFonts w:hint="eastAsia"/>
        </w:rPr>
        <w:t>刑事訴訟法</w:t>
      </w:r>
      <w:hyperlink r:id="rId35" w:anchor="a268" w:history="1">
        <w:r w:rsidRPr="008A2485">
          <w:rPr>
            <w:rStyle w:val="a4"/>
            <w:rFonts w:ascii="Arial Unicode MS" w:hAnsi="Arial Unicode MS" w:hint="eastAsia"/>
          </w:rPr>
          <w:t>第</w:t>
        </w:r>
        <w:r w:rsidRPr="008A2485">
          <w:rPr>
            <w:rStyle w:val="a4"/>
            <w:rFonts w:ascii="Arial Unicode MS" w:hAnsi="Arial Unicode MS" w:hint="eastAsia"/>
          </w:rPr>
          <w:t>268</w:t>
        </w:r>
        <w:r w:rsidRPr="008A2485">
          <w:rPr>
            <w:rStyle w:val="a4"/>
            <w:rFonts w:ascii="Arial Unicode MS" w:hAnsi="Arial Unicode MS" w:hint="eastAsia"/>
          </w:rPr>
          <w:t>條</w:t>
        </w:r>
      </w:hyperlink>
      <w:r w:rsidRPr="00311C3C">
        <w:rPr>
          <w:rFonts w:hint="eastAsia"/>
        </w:rPr>
        <w:t>乃一般所稱「不告不理原則」之規定，此處所謂「告」係指下列何者？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）告訴（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）告發（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）申告（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）起訴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40.</w:t>
      </w:r>
      <w:r w:rsidRPr="00311C3C">
        <w:rPr>
          <w:rFonts w:hint="eastAsia"/>
        </w:rPr>
        <w:t>下列有關刑事簡式審判之說明，何者錯誤？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）被告自白犯罪未必進行簡式審判程序（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）仍應適用傳聞法則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）外患罪不得進行簡式審判程序（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）簡式審判程序進行中，檢察官仍得聲請法院改依協商程序而為判決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41.</w:t>
      </w:r>
      <w:r w:rsidRPr="00311C3C">
        <w:rPr>
          <w:rFonts w:hint="eastAsia"/>
        </w:rPr>
        <w:t>刑事訴訟，於第一審審判期日中，下列何人不得於調查證據完畢後，就事實與法律進行辯論？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）檢察官（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）被害人（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）被告（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）自訴人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42</w:t>
      </w:r>
      <w:r>
        <w:rPr>
          <w:rFonts w:hint="eastAsia"/>
        </w:rPr>
        <w:t>.</w:t>
      </w:r>
      <w:r w:rsidRPr="00311C3C">
        <w:rPr>
          <w:rFonts w:hint="eastAsia"/>
        </w:rPr>
        <w:t>公訴程序，下列何種情形，法院應停止審判？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）犯罪是否成立應以他罪為斷（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）被告另犯重罪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）被告成植物人（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）犯罪是否成立應以民事法律關係為斷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43.</w:t>
      </w:r>
      <w:r w:rsidRPr="00311C3C">
        <w:rPr>
          <w:rFonts w:hint="eastAsia"/>
        </w:rPr>
        <w:t>依</w:t>
      </w:r>
      <w:hyperlink r:id="rId36" w:history="1">
        <w:r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311C3C">
        <w:rPr>
          <w:rFonts w:hint="eastAsia"/>
        </w:rPr>
        <w:t>規定，已經提起公訴或自訴之案件，在同一法院重行起訴者，法院應諭知何種判決？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）免訴判決（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）不受理判決（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）管轄錯誤判決（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）免刑判決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44.</w:t>
      </w:r>
      <w:r w:rsidRPr="00311C3C">
        <w:rPr>
          <w:rFonts w:hint="eastAsia"/>
        </w:rPr>
        <w:t>刑事訴訟，下列何人對於下級法院之判決有不服者，得獨立上訴於上級法院？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）告訴人（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）被害人（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）辯護人（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）被告之配偶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45.</w:t>
      </w:r>
      <w:r w:rsidRPr="00311C3C">
        <w:rPr>
          <w:rFonts w:hint="eastAsia"/>
        </w:rPr>
        <w:t>下列關於刑事第二審之敘述，何者正確？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A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）最高法院得為第二審法院（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）檢察官不得為被告利益上訴第二審法院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）第二審法院不得為法律審判（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）第二審均應行強制辯護程序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46.</w:t>
      </w:r>
      <w:r w:rsidRPr="00311C3C">
        <w:rPr>
          <w:rFonts w:hint="eastAsia"/>
        </w:rPr>
        <w:t>刑事訴</w:t>
      </w:r>
      <w:r w:rsidRPr="00CF2F59">
        <w:rPr>
          <w:rFonts w:hint="eastAsia"/>
        </w:rPr>
        <w:t>訟</w:t>
      </w:r>
      <w:r w:rsidRPr="00311C3C">
        <w:rPr>
          <w:rFonts w:hint="eastAsia"/>
        </w:rPr>
        <w:t>，下列何種情形，第一審法院之判決並非當然違背法令？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B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）應行合議審判之案件未合議審判（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）言詞辯論終結後；法院隔</w:t>
      </w:r>
      <w:r w:rsidRPr="00311C3C">
        <w:rPr>
          <w:rFonts w:ascii="Arial Unicode MS" w:hAnsi="Arial Unicode MS" w:hint="eastAsia"/>
        </w:rPr>
        <w:t xml:space="preserve"> 1</w:t>
      </w:r>
      <w:r w:rsidRPr="00311C3C">
        <w:rPr>
          <w:rFonts w:ascii="Arial Unicode MS" w:hAnsi="Arial Unicode MS" w:hint="eastAsia"/>
        </w:rPr>
        <w:t>個月才宣判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）依法律或裁判應迴避之法官未迴避（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）被告因疾病不能到庭，法院逕行一造辯論，判處罰金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47.</w:t>
      </w:r>
      <w:r w:rsidRPr="00311C3C">
        <w:rPr>
          <w:rFonts w:hint="eastAsia"/>
        </w:rPr>
        <w:t>關於抗告，下列敘述，何者正確？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）受罰鍰裁定之證人，不得提起抗告（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）聲請法官迴避經裁定駁回者，聲請人不得提起抗告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）關於准予羈押之裁定，被告得提起抗告，但已執行終結者，不得提起抗告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）不得上訴於第三審法院之案件，其第二審法院所為裁定，不得提起抗告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48.</w:t>
      </w:r>
      <w:r w:rsidRPr="00311C3C">
        <w:rPr>
          <w:rFonts w:hint="eastAsia"/>
        </w:rPr>
        <w:t>下列關於刑事訴訟再審之敘述，何者正確？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D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）聲請後，不得撤回（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）應向最高法院提起（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）應停止刑罰執行（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）得為被告不利益提起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49.</w:t>
      </w:r>
      <w:r w:rsidRPr="00311C3C">
        <w:rPr>
          <w:rFonts w:hint="eastAsia"/>
        </w:rPr>
        <w:t>下列有關非常上訴之敘述，何者錯誤？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A</w:t>
      </w:r>
      <w:r w:rsidRPr="00F66938">
        <w:rPr>
          <w:rFonts w:hint="eastAsia"/>
          <w:color w:val="800000"/>
        </w:rPr>
        <w:t>】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）認其提起無理由時應以裁定駁回（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）應向最高法院提起</w:t>
      </w:r>
    </w:p>
    <w:p w:rsidR="00424399" w:rsidRPr="00311C3C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）訴訟程序違背法令者，撤銷其程序（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）僅得由檢察總長提起</w:t>
      </w:r>
    </w:p>
    <w:p w:rsidR="00424399" w:rsidRPr="00311C3C" w:rsidRDefault="00424399" w:rsidP="00424399">
      <w:pPr>
        <w:pStyle w:val="3"/>
      </w:pPr>
      <w:r w:rsidRPr="00311C3C">
        <w:rPr>
          <w:rFonts w:hint="eastAsia"/>
        </w:rPr>
        <w:t>50.</w:t>
      </w:r>
      <w:r w:rsidRPr="00311C3C">
        <w:rPr>
          <w:rFonts w:hint="eastAsia"/>
        </w:rPr>
        <w:t>下列何種刑事判決，不得依簡易程序宣告？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31244B">
        <w:rPr>
          <w:rFonts w:hint="eastAsia"/>
          <w:color w:val="FFFFFF"/>
        </w:rPr>
        <w:t>C</w:t>
      </w:r>
      <w:r w:rsidRPr="00F66938">
        <w:rPr>
          <w:rFonts w:hint="eastAsia"/>
          <w:color w:val="800000"/>
        </w:rPr>
        <w:t>】</w:t>
      </w:r>
    </w:p>
    <w:p w:rsidR="00424399" w:rsidRDefault="00424399" w:rsidP="00424399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）緩刑（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）罰金刑（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）無罪（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）拘役</w:t>
      </w:r>
    </w:p>
    <w:p w:rsidR="00424399" w:rsidRDefault="00424399" w:rsidP="00424399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697BF0" w:rsidRPr="003716F8" w:rsidRDefault="00697BF0" w:rsidP="003716F8"/>
    <w:sectPr w:rsidR="00697BF0" w:rsidRPr="003716F8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D0" w:rsidRDefault="00D117D0">
      <w:r>
        <w:separator/>
      </w:r>
    </w:p>
  </w:endnote>
  <w:endnote w:type="continuationSeparator" w:id="0">
    <w:p w:rsidR="00D117D0" w:rsidRDefault="00D1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D0" w:rsidRDefault="00D117D0">
    <w:pPr>
      <w:pStyle w:val="a9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117D0" w:rsidRDefault="00D117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D0" w:rsidRDefault="00D117D0">
    <w:pPr>
      <w:pStyle w:val="a9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93131">
      <w:rPr>
        <w:rStyle w:val="a5"/>
        <w:noProof/>
      </w:rPr>
      <w:t>1</w:t>
    </w:r>
    <w:r>
      <w:fldChar w:fldCharType="end"/>
    </w:r>
  </w:p>
  <w:p w:rsidR="00D117D0" w:rsidRDefault="00D117D0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 w:rsidR="00F93131" w:rsidRPr="0019655A">
      <w:rPr>
        <w:rFonts w:ascii="Arial Unicode MS" w:hAnsi="Arial Unicode MS" w:hint="eastAsia"/>
        <w:sz w:val="18"/>
      </w:rPr>
      <w:t>訴訟法測驗題庫彙編</w:t>
    </w:r>
    <w:r w:rsidR="00F93131" w:rsidRPr="0019655A">
      <w:rPr>
        <w:rFonts w:ascii="Arial Unicode MS" w:hAnsi="Arial Unicode MS" w:hint="eastAsia"/>
        <w:sz w:val="18"/>
      </w:rPr>
      <w:t>01</w:t>
    </w:r>
    <w:r w:rsidR="00F93131">
      <w:rPr>
        <w:rFonts w:ascii="Arial Unicode MS" w:hAnsi="Arial Unicode MS" w:hint="eastAsia"/>
        <w:sz w:val="18"/>
      </w:rPr>
      <w:t>(</w:t>
    </w:r>
    <w:r w:rsidR="00F93131" w:rsidRPr="0019655A">
      <w:rPr>
        <w:rFonts w:ascii="Arial Unicode MS" w:hAnsi="Arial Unicode MS" w:hint="eastAsia"/>
        <w:sz w:val="18"/>
      </w:rPr>
      <w:t>104-95</w:t>
    </w:r>
    <w:r w:rsidR="00F93131" w:rsidRPr="0019655A">
      <w:rPr>
        <w:rFonts w:ascii="Arial Unicode MS" w:hAnsi="Arial Unicode MS" w:hint="eastAsia"/>
        <w:sz w:val="18"/>
      </w:rPr>
      <w:t>年</w:t>
    </w:r>
    <w:r w:rsidR="00F93131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D0" w:rsidRDefault="00D117D0">
      <w:r>
        <w:separator/>
      </w:r>
    </w:p>
  </w:footnote>
  <w:footnote w:type="continuationSeparator" w:id="0">
    <w:p w:rsidR="00D117D0" w:rsidRDefault="00D1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0449"/>
    <w:rsid w:val="000A7F05"/>
    <w:rsid w:val="00172A27"/>
    <w:rsid w:val="0018627C"/>
    <w:rsid w:val="001D4479"/>
    <w:rsid w:val="0021070E"/>
    <w:rsid w:val="002466B2"/>
    <w:rsid w:val="00246C08"/>
    <w:rsid w:val="00254A9D"/>
    <w:rsid w:val="002F601F"/>
    <w:rsid w:val="003057DD"/>
    <w:rsid w:val="0031244B"/>
    <w:rsid w:val="003716F8"/>
    <w:rsid w:val="00396C0C"/>
    <w:rsid w:val="003B540F"/>
    <w:rsid w:val="00424399"/>
    <w:rsid w:val="0044715F"/>
    <w:rsid w:val="004B2ACD"/>
    <w:rsid w:val="004B56D2"/>
    <w:rsid w:val="004C2AA5"/>
    <w:rsid w:val="005221A5"/>
    <w:rsid w:val="00582082"/>
    <w:rsid w:val="0058399B"/>
    <w:rsid w:val="005A4347"/>
    <w:rsid w:val="005E368B"/>
    <w:rsid w:val="006720FF"/>
    <w:rsid w:val="00697BF0"/>
    <w:rsid w:val="0075470D"/>
    <w:rsid w:val="007F4793"/>
    <w:rsid w:val="008A2485"/>
    <w:rsid w:val="008A5C6D"/>
    <w:rsid w:val="00917CA9"/>
    <w:rsid w:val="009D7C11"/>
    <w:rsid w:val="009F1375"/>
    <w:rsid w:val="00A95FED"/>
    <w:rsid w:val="00AA2645"/>
    <w:rsid w:val="00BC65F6"/>
    <w:rsid w:val="00BE7294"/>
    <w:rsid w:val="00C10F85"/>
    <w:rsid w:val="00C42C9A"/>
    <w:rsid w:val="00C602D1"/>
    <w:rsid w:val="00CF2F59"/>
    <w:rsid w:val="00D0123E"/>
    <w:rsid w:val="00D02976"/>
    <w:rsid w:val="00D117D0"/>
    <w:rsid w:val="00DA45B6"/>
    <w:rsid w:val="00ED412B"/>
    <w:rsid w:val="00F66938"/>
    <w:rsid w:val="00F93131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rsid w:val="005221A5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h21">
    <w:name w:val="h21"/>
    <w:rPr>
      <w:color w:val="009933"/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character" w:customStyle="1" w:styleId="30">
    <w:name w:val="標題 3 字元"/>
    <w:link w:val="3"/>
    <w:rsid w:val="005221A5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7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16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rsid w:val="005221A5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h21">
    <w:name w:val="h21"/>
    <w:rPr>
      <w:color w:val="009933"/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character" w:customStyle="1" w:styleId="30">
    <w:name w:val="標題 3 字元"/>
    <w:link w:val="3"/>
    <w:rsid w:val="005221A5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7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16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23&#35380;&#35359;&#27861;&#28204;&#39511;&#38988;&#24235;02.docx" TargetMode="External"/><Relationship Id="rId18" Type="http://schemas.openxmlformats.org/officeDocument/2006/relationships/hyperlink" Target="23&#35380;&#35359;&#27861;&#28204;&#39511;&#38988;&#24235;a.docx" TargetMode="External"/><Relationship Id="rId26" Type="http://schemas.openxmlformats.org/officeDocument/2006/relationships/hyperlink" Target="../law/&#27665;&#20107;&#35380;&#35359;&#27861;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21009;&#20107;&#35380;&#35359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35380;&#35359;&#27861;&#28204;&#39511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law/&#21009;&#20107;&#35380;&#35359;&#27861;.docx" TargetMode="External"/><Relationship Id="rId33" Type="http://schemas.openxmlformats.org/officeDocument/2006/relationships/hyperlink" Target="../law/&#21009;&#20107;&#35380;&#35359;&#27861;.docx" TargetMode="External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27665;&#27861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/&#27665;&#20107;&#35380;&#35359;&#27861;.docx" TargetMode="External"/><Relationship Id="rId32" Type="http://schemas.openxmlformats.org/officeDocument/2006/relationships/hyperlink" Target="../law/&#27665;&#20107;&#35380;&#35359;&#27861;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law/&#27665;&#20107;&#35380;&#35359;&#27861;.docx" TargetMode="External"/><Relationship Id="rId36" Type="http://schemas.openxmlformats.org/officeDocument/2006/relationships/hyperlink" Target="../law/&#21009;&#20107;&#35380;&#35359;&#27861;.docx" TargetMode="External"/><Relationship Id="rId10" Type="http://schemas.openxmlformats.org/officeDocument/2006/relationships/hyperlink" Target="file:///C:\6law.idv.tw\6lawword\law8\23&#35380;&#35359;&#27861;&#28204;&#39511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27665;&#20107;&#35380;&#35359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/&#27665;&#20107;&#35380;&#35359;&#27861;.docx" TargetMode="External"/><Relationship Id="rId30" Type="http://schemas.openxmlformats.org/officeDocument/2006/relationships/hyperlink" Target="../law/&#27665;&#27861;.docx" TargetMode="External"/><Relationship Id="rId35" Type="http://schemas.openxmlformats.org/officeDocument/2006/relationships/hyperlink" Target="../law/&#21009;&#20107;&#35380;&#35359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5949</Words>
  <Characters>3609</Characters>
  <Application>Microsoft Office Word</Application>
  <DocSecurity>0</DocSecurity>
  <Lines>30</Lines>
  <Paragraphs>19</Paragraphs>
  <ScaleCrop>false</ScaleCrop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訴訟法測驗題庫彙編01(104-95年)</dc:title>
  <dc:creator>S-link 電子六法-黃婉玲</dc:creator>
  <cp:lastModifiedBy>Anita</cp:lastModifiedBy>
  <cp:revision>11</cp:revision>
  <cp:lastPrinted>1900-12-31T16:00:00Z</cp:lastPrinted>
  <dcterms:created xsi:type="dcterms:W3CDTF">2014-09-09T12:00:00Z</dcterms:created>
  <dcterms:modified xsi:type="dcterms:W3CDTF">2016-05-06T15:16:00Z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